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26" w:rsidRPr="00664E26" w:rsidRDefault="00664E26" w:rsidP="00664E26">
      <w:pPr>
        <w:widowControl/>
        <w:numPr>
          <w:ilvl w:val="0"/>
          <w:numId w:val="1"/>
        </w:numPr>
        <w:shd w:val="clear" w:color="auto" w:fill="FFFFFF"/>
        <w:spacing w:before="0" w:beforeAutospacing="0" w:after="0" w:afterAutospacing="0" w:line="750" w:lineRule="atLeast"/>
        <w:ind w:left="0"/>
        <w:jc w:val="center"/>
        <w:rPr>
          <w:rFonts w:ascii="微软雅黑" w:eastAsia="微软雅黑" w:hAnsi="微软雅黑" w:cs="宋体"/>
          <w:color w:val="CC0000"/>
          <w:kern w:val="0"/>
          <w:sz w:val="42"/>
          <w:szCs w:val="42"/>
        </w:rPr>
      </w:pPr>
      <w:r w:rsidRPr="00664E26">
        <w:rPr>
          <w:rFonts w:ascii="微软雅黑" w:eastAsia="微软雅黑" w:hAnsi="微软雅黑" w:cs="宋体" w:hint="eastAsia"/>
          <w:color w:val="CC0000"/>
          <w:kern w:val="0"/>
          <w:sz w:val="42"/>
          <w:szCs w:val="42"/>
        </w:rPr>
        <w:t>中华人民共和国个人所得税法</w:t>
      </w:r>
    </w:p>
    <w:p w:rsidR="00664E26" w:rsidRPr="00664E26" w:rsidRDefault="00664E26" w:rsidP="00664E26">
      <w:pPr>
        <w:widowControl/>
        <w:pBdr>
          <w:bottom w:val="single" w:sz="6" w:space="0" w:color="F0F0F0"/>
        </w:pBdr>
        <w:shd w:val="clear" w:color="auto" w:fill="FFFFFF"/>
        <w:spacing w:before="600" w:beforeAutospacing="0" w:after="300" w:afterAutospacing="0" w:line="420" w:lineRule="atLeast"/>
        <w:jc w:val="left"/>
        <w:rPr>
          <w:rFonts w:ascii="微软雅黑" w:eastAsia="微软雅黑" w:hAnsi="微软雅黑" w:cs="宋体" w:hint="eastAsia"/>
          <w:color w:val="333333"/>
          <w:kern w:val="0"/>
          <w:sz w:val="18"/>
          <w:szCs w:val="18"/>
        </w:rPr>
      </w:pPr>
    </w:p>
    <w:p w:rsidR="00664E26" w:rsidRPr="00664E26" w:rsidRDefault="00664E26" w:rsidP="00664E26">
      <w:pPr>
        <w:widowControl/>
        <w:numPr>
          <w:ilvl w:val="0"/>
          <w:numId w:val="1"/>
        </w:numPr>
        <w:shd w:val="clear" w:color="auto" w:fill="FFFFFF"/>
        <w:spacing w:before="0" w:beforeAutospacing="0" w:after="0" w:afterAutospacing="0" w:line="540" w:lineRule="atLeast"/>
        <w:ind w:left="0"/>
        <w:jc w:val="left"/>
        <w:rPr>
          <w:rFonts w:ascii="宋体" w:hAnsi="宋体" w:cs="宋体" w:hint="eastAsia"/>
          <w:color w:val="333333"/>
          <w:kern w:val="0"/>
          <w:sz w:val="24"/>
        </w:rPr>
      </w:pPr>
      <w:r w:rsidRPr="00664E26">
        <w:rPr>
          <w:rFonts w:ascii="宋体" w:hAnsi="宋体" w:cs="宋体" w:hint="eastAsia"/>
          <w:color w:val="333333"/>
          <w:kern w:val="0"/>
          <w:sz w:val="24"/>
        </w:rPr>
        <w:t xml:space="preserve">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w:t>
      </w:r>
      <w:proofErr w:type="gramStart"/>
      <w:r w:rsidRPr="00664E26">
        <w:rPr>
          <w:rFonts w:ascii="宋体" w:hAnsi="宋体" w:cs="宋体" w:hint="eastAsia"/>
          <w:color w:val="333333"/>
          <w:kern w:val="0"/>
          <w:sz w:val="24"/>
        </w:rPr>
        <w:t>〉</w:t>
      </w:r>
      <w:proofErr w:type="gramEnd"/>
      <w:r w:rsidRPr="00664E26">
        <w:rPr>
          <w:rFonts w:ascii="宋体" w:hAnsi="宋体" w:cs="宋体" w:hint="eastAsia"/>
          <w:color w:val="333333"/>
          <w:kern w:val="0"/>
          <w:sz w:val="24"/>
        </w:rPr>
        <w:t>的决定</w:t>
      </w:r>
      <w:proofErr w:type="gramStart"/>
      <w:r w:rsidRPr="00664E26">
        <w:rPr>
          <w:rFonts w:ascii="宋体" w:hAnsi="宋体" w:cs="宋体" w:hint="eastAsia"/>
          <w:color w:val="333333"/>
          <w:kern w:val="0"/>
          <w:sz w:val="24"/>
        </w:rPr>
        <w:t>》</w:t>
      </w:r>
      <w:proofErr w:type="gramEnd"/>
      <w:r w:rsidRPr="00664E26">
        <w:rPr>
          <w:rFonts w:ascii="宋体" w:hAnsi="宋体" w:cs="宋体" w:hint="eastAsia"/>
          <w:color w:val="333333"/>
          <w:kern w:val="0"/>
          <w:sz w:val="24"/>
        </w:rPr>
        <w:t>第六次修正　根据2018年8月31日第十三届全国人民代表大会常务委员会第五次会议《关于修改〈中华人民共和国个人所得税法〉的决定》第七次修正）</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br/>
        <w:t> </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第一条</w:t>
      </w:r>
      <w:r w:rsidRPr="00664E26">
        <w:rPr>
          <w:rFonts w:ascii="宋体" w:hAnsi="宋体" w:cs="宋体" w:hint="eastAsia"/>
          <w:color w:val="333333"/>
          <w:kern w:val="0"/>
          <w:sz w:val="24"/>
        </w:rPr>
        <w:t xml:space="preserve">　在中国境内有住所，或者无住所而一个纳税年度内在中国境内居住累计满一百八十三天的个人，为居民个人。居民个人从中国境内和境外取得的所得，依照本法规定缴纳个人所得税。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lastRenderedPageBreak/>
        <w:t xml:space="preserve">　　在中国境内无住所又不居住，或者无住所而一个纳税年度内在中国境内居住累计不满一百八十三天的个人，为非居民个人。非居民个人从中国境内取得的所得，依照本法规定缴纳个人所得税。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纳税年度，自公历一月一日起至十二月三十一日止。</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第二条</w:t>
      </w:r>
      <w:r w:rsidRPr="00664E26">
        <w:rPr>
          <w:rFonts w:ascii="宋体" w:hAnsi="宋体" w:cs="宋体" w:hint="eastAsia"/>
          <w:color w:val="333333"/>
          <w:kern w:val="0"/>
          <w:sz w:val="24"/>
        </w:rPr>
        <w:t xml:space="preserve">　下列各项个人所得，应当缴纳个人所得税：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（一）工资、薪金所得；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（二）劳务报酬所得；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（三）稿酬所得；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（四）特许权使用费所得；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（五）经营所得；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（六）利息、股息、红利所得；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（七）财产租赁所得；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（八）财产转让所得；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（九）偶然所得。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居民个人取得前款第一项至第四项所得（以下</w:t>
      </w:r>
      <w:proofErr w:type="gramStart"/>
      <w:r w:rsidRPr="00664E26">
        <w:rPr>
          <w:rFonts w:ascii="宋体" w:hAnsi="宋体" w:cs="宋体" w:hint="eastAsia"/>
          <w:color w:val="333333"/>
          <w:kern w:val="0"/>
          <w:sz w:val="24"/>
        </w:rPr>
        <w:t>称综合</w:t>
      </w:r>
      <w:proofErr w:type="gramEnd"/>
      <w:r w:rsidRPr="00664E26">
        <w:rPr>
          <w:rFonts w:ascii="宋体" w:hAnsi="宋体" w:cs="宋体" w:hint="eastAsia"/>
          <w:color w:val="333333"/>
          <w:kern w:val="0"/>
          <w:sz w:val="24"/>
        </w:rPr>
        <w:t>所得），按纳税年度合并计算个人所得税；非居民个人取得前款第一项至第四项所得，按月或者按次分项计算个人所得税。纳税人取得前款第五项至第九项所得，依照本法规定分别计算个人所得税。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第三条</w:t>
      </w:r>
      <w:r w:rsidRPr="00664E26">
        <w:rPr>
          <w:rFonts w:ascii="宋体" w:hAnsi="宋体" w:cs="宋体" w:hint="eastAsia"/>
          <w:color w:val="333333"/>
          <w:kern w:val="0"/>
          <w:sz w:val="24"/>
        </w:rPr>
        <w:t xml:space="preserve">　个人所得税的税率：</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（一）综合所得，适用百分之三至百分之四十五的超额累进税率（税率表附后）；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（二）经营所得，适用百分之五至百分之三十五的超额累进税率（税率表附后）；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（三）利息、股息、红利所得，财产租赁所得，财产转让所得和偶然所得，适用比例税率，税率为百分之二十。</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lastRenderedPageBreak/>
        <w:t xml:space="preserve">　　第四条</w:t>
      </w:r>
      <w:r w:rsidRPr="00664E26">
        <w:rPr>
          <w:rFonts w:ascii="宋体" w:hAnsi="宋体" w:cs="宋体" w:hint="eastAsia"/>
          <w:color w:val="333333"/>
          <w:kern w:val="0"/>
          <w:sz w:val="24"/>
        </w:rPr>
        <w:t xml:space="preserve">　下列各项个人所得，免征个人所得税：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（一）省级人民政府、国务院部委和中国人民解放军军以上单位，以及外国组织、国际组织颁发的科学、教育、技术、文化、卫生、体育、环境保护等方面的奖金；</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（二）国债和国家发行的金融债券利息；</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（三）按照国家统一规定发给的补贴、津贴；</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（四）福利费、抚恤金、救济金；</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（五）保险赔款；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（六）军人的转业费、复员费、退役金；</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（七）按照国家统一规定发给干部、职工的安家费、退职费、基本养老金或者退休费、离休费、离休生活补助费；</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（八）依照有关法律规定应予免税的各国驻华使馆、领事馆的外交代表、领事官员和其他人员的所得；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（九）中国政府参加的国际公约、签订的协议中规定免税的所得；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（十）国务院规定的其他免税所得。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前款第十项免税规定，由国务院报全国人民代表大会常务委员会备案。</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第五条</w:t>
      </w:r>
      <w:r w:rsidRPr="00664E26">
        <w:rPr>
          <w:rFonts w:ascii="宋体" w:hAnsi="宋体" w:cs="宋体" w:hint="eastAsia"/>
          <w:color w:val="333333"/>
          <w:kern w:val="0"/>
          <w:sz w:val="24"/>
        </w:rPr>
        <w:t xml:space="preserve">　有下列情形之一的，可以减征个人所得税，具体幅度和期限，由省、自治区、直辖市人民政府规定，并报同级人民代表大会常务委员会备案：</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（一）残疾、孤老人员和烈属的所得；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（二）因自然灾害遭受重大损失的。</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国务院可以规定其他减税情形，报全国人民代表大会常务委员会备案。</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第六条</w:t>
      </w:r>
      <w:r w:rsidRPr="00664E26">
        <w:rPr>
          <w:rFonts w:ascii="宋体" w:hAnsi="宋体" w:cs="宋体" w:hint="eastAsia"/>
          <w:color w:val="333333"/>
          <w:kern w:val="0"/>
          <w:sz w:val="24"/>
        </w:rPr>
        <w:t xml:space="preserve">　应纳税所得额的计算：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（一）居民个人的综合所得，以每一纳税年度的收入额减除费用六万元以及专项扣除、专项附加扣除和依法确定的其他扣除后的余额，为应纳税所得额。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lastRenderedPageBreak/>
        <w:t xml:space="preserve">　　（二）非居民个人的工资、薪金所得，以每月收入额减除费用五千元后的余额为应纳税所得额；劳务报酬所得、稿酬所得、特许权使用费所得，以每次收入额为应纳税所得额。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（三）经营所得，以每一纳税年度的收入总额减除成本、费用以及损失后的余额，为应纳税所得额。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（四）财产租赁所得，每次收入不超过四千元的，减除费用八百元；四千元以上的，减除百分之二十的费用，其余额为应纳税所得额。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（五）财产转让所得，以转让财产的收入额减除财产原值和合理费用后的余额，为应纳税所得额。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（六）利息、股息、红利所得和偶然所得，以每次收入额为应纳税所得额。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劳务报酬所得、稿酬所得、特许权使用费所得以收入减除百分之二十的费用后的余额为收入额。稿酬所得的</w:t>
      </w:r>
      <w:proofErr w:type="gramStart"/>
      <w:r w:rsidRPr="00664E26">
        <w:rPr>
          <w:rFonts w:ascii="宋体" w:hAnsi="宋体" w:cs="宋体" w:hint="eastAsia"/>
          <w:color w:val="333333"/>
          <w:kern w:val="0"/>
          <w:sz w:val="24"/>
        </w:rPr>
        <w:t>收入额减按</w:t>
      </w:r>
      <w:proofErr w:type="gramEnd"/>
      <w:r w:rsidRPr="00664E26">
        <w:rPr>
          <w:rFonts w:ascii="宋体" w:hAnsi="宋体" w:cs="宋体" w:hint="eastAsia"/>
          <w:color w:val="333333"/>
          <w:kern w:val="0"/>
          <w:sz w:val="24"/>
        </w:rPr>
        <w:t>百分之七十计算。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第七条</w:t>
      </w:r>
      <w:r w:rsidRPr="00664E26">
        <w:rPr>
          <w:rFonts w:ascii="宋体" w:hAnsi="宋体" w:cs="宋体" w:hint="eastAsia"/>
          <w:color w:val="333333"/>
          <w:kern w:val="0"/>
          <w:sz w:val="24"/>
        </w:rPr>
        <w:t xml:space="preserve">　居民个人从中国境外取得的所得，可以从其应纳税额中抵免已在境外缴纳的个人所得税税额，但抵免额不得超过该纳税人境外所得依照本法规定计算的应纳税额。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第八条</w:t>
      </w:r>
      <w:r w:rsidRPr="00664E26">
        <w:rPr>
          <w:rFonts w:ascii="宋体" w:hAnsi="宋体" w:cs="宋体" w:hint="eastAsia"/>
          <w:color w:val="333333"/>
          <w:kern w:val="0"/>
          <w:sz w:val="24"/>
        </w:rPr>
        <w:t xml:space="preserve">　有下列情形之一的，税务机关有权按照合理方法进行纳税调整：</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lastRenderedPageBreak/>
        <w:t xml:space="preserve">　　（一）个人与其关联方之间的业务往来不符合独立交易原则而减少本人或者其关联方应纳税额，且无正当理由；</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（二）居民个人控制的，或者居民个人和居民企业共同控制的设立在实际税负明显偏低的国家（地区）的企业，无合理经营需要，对应当归属于居民个人的利润不作分配或者减少分配；</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（三）个人实施其他不具有合理商业目的的安排而获取不当税收利益。</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税务机关依照前款规定</w:t>
      </w:r>
      <w:proofErr w:type="gramStart"/>
      <w:r w:rsidRPr="00664E26">
        <w:rPr>
          <w:rFonts w:ascii="宋体" w:hAnsi="宋体" w:cs="宋体" w:hint="eastAsia"/>
          <w:color w:val="333333"/>
          <w:kern w:val="0"/>
          <w:sz w:val="24"/>
        </w:rPr>
        <w:t>作出</w:t>
      </w:r>
      <w:proofErr w:type="gramEnd"/>
      <w:r w:rsidRPr="00664E26">
        <w:rPr>
          <w:rFonts w:ascii="宋体" w:hAnsi="宋体" w:cs="宋体" w:hint="eastAsia"/>
          <w:color w:val="333333"/>
          <w:kern w:val="0"/>
          <w:sz w:val="24"/>
        </w:rPr>
        <w:t>纳税调整，需要补征税款的，应当补征税款，并依法加收利息。</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w:t>
      </w:r>
      <w:r w:rsidRPr="00664E26">
        <w:rPr>
          <w:rFonts w:ascii="宋体" w:hAnsi="宋体" w:cs="宋体" w:hint="eastAsia"/>
          <w:b/>
          <w:bCs/>
          <w:color w:val="333333"/>
          <w:kern w:val="0"/>
          <w:sz w:val="24"/>
        </w:rPr>
        <w:t xml:space="preserve">　第九条</w:t>
      </w:r>
      <w:r w:rsidRPr="00664E26">
        <w:rPr>
          <w:rFonts w:ascii="宋体" w:hAnsi="宋体" w:cs="宋体" w:hint="eastAsia"/>
          <w:color w:val="333333"/>
          <w:kern w:val="0"/>
          <w:sz w:val="24"/>
        </w:rPr>
        <w:t xml:space="preserve">　个人所得税以所得人为纳税人，以支付所得的单位或者</w:t>
      </w:r>
      <w:proofErr w:type="gramStart"/>
      <w:r w:rsidRPr="00664E26">
        <w:rPr>
          <w:rFonts w:ascii="宋体" w:hAnsi="宋体" w:cs="宋体" w:hint="eastAsia"/>
          <w:color w:val="333333"/>
          <w:kern w:val="0"/>
          <w:sz w:val="24"/>
        </w:rPr>
        <w:t>个</w:t>
      </w:r>
      <w:proofErr w:type="gramEnd"/>
      <w:r w:rsidRPr="00664E26">
        <w:rPr>
          <w:rFonts w:ascii="宋体" w:hAnsi="宋体" w:cs="宋体" w:hint="eastAsia"/>
          <w:color w:val="333333"/>
          <w:kern w:val="0"/>
          <w:sz w:val="24"/>
        </w:rPr>
        <w:t>人为扣缴义务人。</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第十条</w:t>
      </w:r>
      <w:r w:rsidRPr="00664E26">
        <w:rPr>
          <w:rFonts w:ascii="宋体" w:hAnsi="宋体" w:cs="宋体" w:hint="eastAsia"/>
          <w:color w:val="333333"/>
          <w:kern w:val="0"/>
          <w:sz w:val="24"/>
        </w:rPr>
        <w:t xml:space="preserve">　有下列情形之一的，纳税人应当依法办理纳税申报：</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（一）取得综合所得需要办理汇算清缴；</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（二）取得应税所得没有扣缴义务人；</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（三）取得应税所得，扣缴义务人未扣缴税款；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（四）取得境外所得；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（五）因移居境外注销中国户籍；</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（六）非居民个人在中国境内从两处以上取得工资、薪金所得；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（七）国务院规定的其他情形。</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扣缴义务人应当按照国家规定办理全员全额扣缴申报，并向纳税人提供其个人所得和已扣缴税款等信息。</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第十一条</w:t>
      </w:r>
      <w:r w:rsidRPr="00664E26">
        <w:rPr>
          <w:rFonts w:ascii="宋体" w:hAnsi="宋体" w:cs="宋体" w:hint="eastAsia"/>
          <w:color w:val="333333"/>
          <w:kern w:val="0"/>
          <w:sz w:val="24"/>
        </w:rPr>
        <w:t xml:space="preserve">　居民个人取得综合所得，按年计算个人所得税；有扣缴义务人的，由扣缴义务人按月或者按次</w:t>
      </w:r>
      <w:proofErr w:type="gramStart"/>
      <w:r w:rsidRPr="00664E26">
        <w:rPr>
          <w:rFonts w:ascii="宋体" w:hAnsi="宋体" w:cs="宋体" w:hint="eastAsia"/>
          <w:color w:val="333333"/>
          <w:kern w:val="0"/>
          <w:sz w:val="24"/>
        </w:rPr>
        <w:t>预扣预缴税</w:t>
      </w:r>
      <w:proofErr w:type="gramEnd"/>
      <w:r w:rsidRPr="00664E26">
        <w:rPr>
          <w:rFonts w:ascii="宋体" w:hAnsi="宋体" w:cs="宋体" w:hint="eastAsia"/>
          <w:color w:val="333333"/>
          <w:kern w:val="0"/>
          <w:sz w:val="24"/>
        </w:rPr>
        <w:t>款；需要办理汇算清缴的，应当在取得所</w:t>
      </w:r>
      <w:r w:rsidRPr="00664E26">
        <w:rPr>
          <w:rFonts w:ascii="宋体" w:hAnsi="宋体" w:cs="宋体" w:hint="eastAsia"/>
          <w:color w:val="333333"/>
          <w:kern w:val="0"/>
          <w:sz w:val="24"/>
        </w:rPr>
        <w:lastRenderedPageBreak/>
        <w:t>得的次年三月一日至六月三十日内办理汇算清缴。预扣预缴办法由国务院税务主管部门制定。</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居民个人向扣缴义务人提供专项附加扣除信息的，扣缴义务人按月</w:t>
      </w:r>
      <w:proofErr w:type="gramStart"/>
      <w:r w:rsidRPr="00664E26">
        <w:rPr>
          <w:rFonts w:ascii="宋体" w:hAnsi="宋体" w:cs="宋体" w:hint="eastAsia"/>
          <w:color w:val="333333"/>
          <w:kern w:val="0"/>
          <w:sz w:val="24"/>
        </w:rPr>
        <w:t>预扣预缴税</w:t>
      </w:r>
      <w:proofErr w:type="gramEnd"/>
      <w:r w:rsidRPr="00664E26">
        <w:rPr>
          <w:rFonts w:ascii="宋体" w:hAnsi="宋体" w:cs="宋体" w:hint="eastAsia"/>
          <w:color w:val="333333"/>
          <w:kern w:val="0"/>
          <w:sz w:val="24"/>
        </w:rPr>
        <w:t>款时应当按照规定予以扣除，不得拒绝。</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非居民个人取得工资、薪金所得，劳务报酬所得，稿酬所得和特许权使用费所得，有扣缴义务人的，由扣缴义务人按月或者按次代扣代缴税款，不办理汇算清缴。</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第十二条</w:t>
      </w:r>
      <w:r w:rsidRPr="00664E26">
        <w:rPr>
          <w:rFonts w:ascii="宋体" w:hAnsi="宋体" w:cs="宋体" w:hint="eastAsia"/>
          <w:color w:val="333333"/>
          <w:kern w:val="0"/>
          <w:sz w:val="24"/>
        </w:rPr>
        <w:t xml:space="preserve">　纳税人取得经营所得，按年计算个人所得税，由纳税人在月度或者季度终了后十五日内向税务机关报送纳税申报表，并预缴税款；在取得所得的次年三月三十一日前办理汇算清缴。</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纳税人取得利息、股息、红利所得，财产租赁所得，财产转让所得和偶然所得，按月或者按次计算个人所得税，有扣缴义务人的，由扣缴义务人按月或者按次代扣代缴税款。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第十三条</w:t>
      </w:r>
      <w:r w:rsidRPr="00664E26">
        <w:rPr>
          <w:rFonts w:ascii="宋体" w:hAnsi="宋体" w:cs="宋体" w:hint="eastAsia"/>
          <w:color w:val="333333"/>
          <w:kern w:val="0"/>
          <w:sz w:val="24"/>
        </w:rPr>
        <w:t xml:space="preserve">　纳税人取得应税所得没有扣缴义务人的，应当在取得所得的次月十五日内向税务机关报送纳税申报表，并缴纳税款。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纳税人取得应税所得，扣缴义务人未扣缴税款的，纳税人应当在取得所得的次年六月三十日前，缴纳税款；税务机关通知限期缴纳的，纳税人应当按照期限缴纳税款。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居民个人从中国境外取得所得的，应当在取得所得的次年三月一日至六月三十日内申报纳税。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非居民个人在中国境内从两处以上取得工资、薪金所得的，应当在取得所得的次月十五日内申报纳税。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纳税人因移居境外注销中国户籍的，应当在注销中国户籍前办理税款清算。</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第十四条</w:t>
      </w:r>
      <w:r w:rsidRPr="00664E26">
        <w:rPr>
          <w:rFonts w:ascii="宋体" w:hAnsi="宋体" w:cs="宋体" w:hint="eastAsia"/>
          <w:color w:val="333333"/>
          <w:kern w:val="0"/>
          <w:sz w:val="24"/>
        </w:rPr>
        <w:t xml:space="preserve">　扣缴义务人每月或者每次预扣、代扣的税款，应当在次月十五日内缴入国库，并向税务机关报送扣缴个人所得税申报表。</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lastRenderedPageBreak/>
        <w:t xml:space="preserve">　　纳税人办理汇算清缴退税或者扣缴义务人为纳税人办理汇算清缴退税的，税务机关审核后，按照国库管理的有关规定办理退税。</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第十五条</w:t>
      </w:r>
      <w:r w:rsidRPr="00664E26">
        <w:rPr>
          <w:rFonts w:ascii="宋体" w:hAnsi="宋体" w:cs="宋体" w:hint="eastAsia"/>
          <w:color w:val="333333"/>
          <w:kern w:val="0"/>
          <w:sz w:val="24"/>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color w:val="333333"/>
          <w:kern w:val="0"/>
          <w:sz w:val="24"/>
        </w:rPr>
        <w:t xml:space="preserve">　　有关部门依法将纳税人、扣缴义务人遵守本法的情况纳入信用信息系统，并实施联合激励或者惩戒。</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第十六条</w:t>
      </w:r>
      <w:r w:rsidRPr="00664E26">
        <w:rPr>
          <w:rFonts w:ascii="宋体" w:hAnsi="宋体" w:cs="宋体" w:hint="eastAsia"/>
          <w:color w:val="333333"/>
          <w:kern w:val="0"/>
          <w:sz w:val="24"/>
        </w:rPr>
        <w:t xml:space="preserve">　各项所得的计算，以人民币为单位。所得为人民币以外的货币的，按照人民币汇率中间价折合成人民币缴纳税款。</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第十七条</w:t>
      </w:r>
      <w:r w:rsidRPr="00664E26">
        <w:rPr>
          <w:rFonts w:ascii="宋体" w:hAnsi="宋体" w:cs="宋体" w:hint="eastAsia"/>
          <w:color w:val="333333"/>
          <w:kern w:val="0"/>
          <w:sz w:val="24"/>
        </w:rPr>
        <w:t xml:space="preserve">　对扣缴义务人按照所扣缴的税款，付给百分之二的手续费。</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第十八条　</w:t>
      </w:r>
      <w:r w:rsidRPr="00664E26">
        <w:rPr>
          <w:rFonts w:ascii="宋体" w:hAnsi="宋体" w:cs="宋体" w:hint="eastAsia"/>
          <w:color w:val="333333"/>
          <w:kern w:val="0"/>
          <w:sz w:val="24"/>
        </w:rPr>
        <w:t>对储蓄存款利息所得开征、减征、停征个人所得税及其具体办法，由国务院规定，并报全国人民代表大会常务委员会备案。</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第十九条</w:t>
      </w:r>
      <w:r w:rsidRPr="00664E26">
        <w:rPr>
          <w:rFonts w:ascii="宋体" w:hAnsi="宋体" w:cs="宋体" w:hint="eastAsia"/>
          <w:color w:val="333333"/>
          <w:kern w:val="0"/>
          <w:sz w:val="24"/>
        </w:rPr>
        <w:t xml:space="preserve">　纳税人、扣缴义务人和税务机关及其工作人员违反本法规定的，依照《中华人民共和国税收征收管理法》和有关法律法规的规定追究法律责任。</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第二十条</w:t>
      </w:r>
      <w:r w:rsidRPr="00664E26">
        <w:rPr>
          <w:rFonts w:ascii="宋体" w:hAnsi="宋体" w:cs="宋体" w:hint="eastAsia"/>
          <w:color w:val="333333"/>
          <w:kern w:val="0"/>
          <w:sz w:val="24"/>
        </w:rPr>
        <w:t xml:space="preserve">　个人所得税的征收管理，依照本法和《中华人民共和国税收征收管理法》的规定执行。</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第二十一条</w:t>
      </w:r>
      <w:r w:rsidRPr="00664E26">
        <w:rPr>
          <w:rFonts w:ascii="宋体" w:hAnsi="宋体" w:cs="宋体" w:hint="eastAsia"/>
          <w:color w:val="333333"/>
          <w:kern w:val="0"/>
          <w:sz w:val="24"/>
        </w:rPr>
        <w:t xml:space="preserve">　国务院根据本法制定实施条例。</w:t>
      </w:r>
    </w:p>
    <w:p w:rsidR="00664E26" w:rsidRPr="00664E26" w:rsidRDefault="00664E26" w:rsidP="00664E26">
      <w:pPr>
        <w:widowControl/>
        <w:shd w:val="clear" w:color="auto" w:fill="FFFFFF"/>
        <w:spacing w:before="0" w:beforeAutospacing="0" w:after="0" w:afterAutospacing="0" w:line="540" w:lineRule="atLeast"/>
        <w:jc w:val="left"/>
        <w:rPr>
          <w:rFonts w:ascii="宋体" w:hAnsi="宋体" w:cs="宋体" w:hint="eastAsia"/>
          <w:color w:val="333333"/>
          <w:kern w:val="0"/>
          <w:sz w:val="24"/>
        </w:rPr>
      </w:pPr>
      <w:r w:rsidRPr="00664E26">
        <w:rPr>
          <w:rFonts w:ascii="宋体" w:hAnsi="宋体" w:cs="宋体" w:hint="eastAsia"/>
          <w:b/>
          <w:bCs/>
          <w:color w:val="333333"/>
          <w:kern w:val="0"/>
          <w:sz w:val="24"/>
        </w:rPr>
        <w:t xml:space="preserve">　　第二十二条</w:t>
      </w:r>
      <w:r w:rsidRPr="00664E26">
        <w:rPr>
          <w:rFonts w:ascii="宋体" w:hAnsi="宋体" w:cs="宋体" w:hint="eastAsia"/>
          <w:color w:val="333333"/>
          <w:kern w:val="0"/>
          <w:sz w:val="24"/>
        </w:rPr>
        <w:t xml:space="preserve">　本法自公布之日起施行。</w:t>
      </w:r>
    </w:p>
    <w:p w:rsidR="00664E26" w:rsidRPr="00664E26" w:rsidRDefault="00664E26" w:rsidP="00664E26">
      <w:pPr>
        <w:widowControl/>
        <w:shd w:val="clear" w:color="auto" w:fill="FFFFFF"/>
        <w:spacing w:before="0" w:beforeAutospacing="0" w:after="0" w:afterAutospacing="0" w:line="540" w:lineRule="atLeast"/>
        <w:jc w:val="center"/>
        <w:rPr>
          <w:rFonts w:ascii="宋体" w:hAnsi="宋体" w:cs="宋体" w:hint="eastAsia"/>
          <w:color w:val="333333"/>
          <w:kern w:val="0"/>
          <w:sz w:val="24"/>
        </w:rPr>
      </w:pPr>
      <w:r w:rsidRPr="00664E26">
        <w:rPr>
          <w:rFonts w:ascii="宋体" w:hAnsi="宋体" w:cs="宋体" w:hint="eastAsia"/>
          <w:color w:val="333333"/>
          <w:kern w:val="0"/>
          <w:sz w:val="24"/>
        </w:rPr>
        <w:lastRenderedPageBreak/>
        <w:br/>
      </w:r>
      <w:r>
        <w:rPr>
          <w:rFonts w:ascii="宋体" w:hAnsi="宋体" w:cs="宋体"/>
          <w:noProof/>
          <w:color w:val="333333"/>
          <w:kern w:val="0"/>
          <w:sz w:val="24"/>
        </w:rPr>
        <w:drawing>
          <wp:inline distT="0" distB="0" distL="0" distR="0">
            <wp:extent cx="5981700" cy="4314825"/>
            <wp:effectExtent l="19050" t="0" r="0" b="0"/>
            <wp:docPr id="1" name="图片 1" descr="http://hd.chinatax.gov.cn/guoshui/action/ShowAppend.do?id=1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d.chinatax.gov.cn/guoshui/action/ShowAppend.do?id=16365"/>
                    <pic:cNvPicPr>
                      <a:picLocks noChangeAspect="1" noChangeArrowheads="1"/>
                    </pic:cNvPicPr>
                  </pic:nvPicPr>
                  <pic:blipFill>
                    <a:blip r:embed="rId5" cstate="print"/>
                    <a:srcRect/>
                    <a:stretch>
                      <a:fillRect/>
                    </a:stretch>
                  </pic:blipFill>
                  <pic:spPr bwMode="auto">
                    <a:xfrm>
                      <a:off x="0" y="0"/>
                      <a:ext cx="5981700" cy="4314825"/>
                    </a:xfrm>
                    <a:prstGeom prst="rect">
                      <a:avLst/>
                    </a:prstGeom>
                    <a:noFill/>
                    <a:ln w="9525">
                      <a:noFill/>
                      <a:miter lim="800000"/>
                      <a:headEnd/>
                      <a:tailEnd/>
                    </a:ln>
                  </pic:spPr>
                </pic:pic>
              </a:graphicData>
            </a:graphic>
          </wp:inline>
        </w:drawing>
      </w:r>
    </w:p>
    <w:p w:rsidR="00664E26" w:rsidRPr="00664E26" w:rsidRDefault="00664E26" w:rsidP="00664E26">
      <w:pPr>
        <w:widowControl/>
        <w:shd w:val="clear" w:color="auto" w:fill="FFFFFF"/>
        <w:spacing w:before="0" w:beforeAutospacing="0" w:after="0" w:afterAutospacing="0" w:line="540" w:lineRule="atLeast"/>
        <w:jc w:val="center"/>
        <w:rPr>
          <w:rFonts w:ascii="宋体" w:hAnsi="宋体" w:cs="宋体" w:hint="eastAsia"/>
          <w:color w:val="333333"/>
          <w:kern w:val="0"/>
          <w:sz w:val="24"/>
        </w:rPr>
      </w:pPr>
      <w:r>
        <w:rPr>
          <w:rFonts w:ascii="宋体" w:hAnsi="宋体" w:cs="宋体"/>
          <w:noProof/>
          <w:color w:val="333333"/>
          <w:kern w:val="0"/>
          <w:sz w:val="24"/>
        </w:rPr>
        <w:drawing>
          <wp:inline distT="0" distB="0" distL="0" distR="0">
            <wp:extent cx="5991225" cy="2743200"/>
            <wp:effectExtent l="19050" t="0" r="9525" b="0"/>
            <wp:docPr id="2" name="图片 2" descr="http://hd.chinatax.gov.cn/guoshui/action/ShowAppend.do?id=1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chinatax.gov.cn/guoshui/action/ShowAppend.do?id=16366"/>
                    <pic:cNvPicPr>
                      <a:picLocks noChangeAspect="1" noChangeArrowheads="1"/>
                    </pic:cNvPicPr>
                  </pic:nvPicPr>
                  <pic:blipFill>
                    <a:blip r:embed="rId6" cstate="print"/>
                    <a:srcRect/>
                    <a:stretch>
                      <a:fillRect/>
                    </a:stretch>
                  </pic:blipFill>
                  <pic:spPr bwMode="auto">
                    <a:xfrm>
                      <a:off x="0" y="0"/>
                      <a:ext cx="5991225" cy="2743200"/>
                    </a:xfrm>
                    <a:prstGeom prst="rect">
                      <a:avLst/>
                    </a:prstGeom>
                    <a:noFill/>
                    <a:ln w="9525">
                      <a:noFill/>
                      <a:miter lim="800000"/>
                      <a:headEnd/>
                      <a:tailEnd/>
                    </a:ln>
                  </pic:spPr>
                </pic:pic>
              </a:graphicData>
            </a:graphic>
          </wp:inline>
        </w:drawing>
      </w:r>
    </w:p>
    <w:p w:rsidR="00406F65" w:rsidRDefault="00406F65">
      <w:pPr>
        <w:rPr>
          <w:rFonts w:hint="eastAsia"/>
        </w:rPr>
      </w:pPr>
    </w:p>
    <w:sectPr w:rsidR="00406F65" w:rsidSect="00830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0745"/>
    <w:multiLevelType w:val="multilevel"/>
    <w:tmpl w:val="D816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4E26"/>
    <w:rsid w:val="0038571C"/>
    <w:rsid w:val="003E7C46"/>
    <w:rsid w:val="00406F65"/>
    <w:rsid w:val="00664E26"/>
    <w:rsid w:val="007E0C31"/>
    <w:rsid w:val="00830BA7"/>
    <w:rsid w:val="00F8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100" w:beforeAutospacing="1" w:after="100" w:afterAutospacing="1" w:line="0"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E26"/>
    <w:rPr>
      <w:color w:val="0000FF"/>
      <w:u w:val="single"/>
    </w:rPr>
  </w:style>
  <w:style w:type="character" w:customStyle="1" w:styleId="apple-converted-space">
    <w:name w:val="apple-converted-space"/>
    <w:basedOn w:val="a0"/>
    <w:rsid w:val="00664E26"/>
  </w:style>
  <w:style w:type="paragraph" w:styleId="a4">
    <w:name w:val="Normal (Web)"/>
    <w:basedOn w:val="a"/>
    <w:uiPriority w:val="99"/>
    <w:unhideWhenUsed/>
    <w:rsid w:val="00664E26"/>
    <w:pPr>
      <w:widowControl/>
      <w:spacing w:line="240" w:lineRule="auto"/>
      <w:jc w:val="left"/>
    </w:pPr>
    <w:rPr>
      <w:rFonts w:ascii="宋体" w:hAnsi="宋体" w:cs="宋体"/>
      <w:kern w:val="0"/>
      <w:sz w:val="24"/>
    </w:rPr>
  </w:style>
  <w:style w:type="character" w:styleId="a5">
    <w:name w:val="Strong"/>
    <w:basedOn w:val="a0"/>
    <w:uiPriority w:val="22"/>
    <w:qFormat/>
    <w:rsid w:val="00664E26"/>
    <w:rPr>
      <w:b/>
      <w:bCs/>
    </w:rPr>
  </w:style>
  <w:style w:type="paragraph" w:styleId="a6">
    <w:name w:val="Balloon Text"/>
    <w:basedOn w:val="a"/>
    <w:link w:val="Char"/>
    <w:rsid w:val="00664E26"/>
    <w:pPr>
      <w:spacing w:before="0" w:after="0" w:line="240" w:lineRule="auto"/>
    </w:pPr>
    <w:rPr>
      <w:sz w:val="18"/>
      <w:szCs w:val="18"/>
    </w:rPr>
  </w:style>
  <w:style w:type="character" w:customStyle="1" w:styleId="Char">
    <w:name w:val="批注框文本 Char"/>
    <w:basedOn w:val="a0"/>
    <w:link w:val="a6"/>
    <w:rsid w:val="00664E26"/>
    <w:rPr>
      <w:kern w:val="2"/>
      <w:sz w:val="18"/>
      <w:szCs w:val="18"/>
    </w:rPr>
  </w:style>
</w:styles>
</file>

<file path=word/webSettings.xml><?xml version="1.0" encoding="utf-8"?>
<w:webSettings xmlns:r="http://schemas.openxmlformats.org/officeDocument/2006/relationships" xmlns:w="http://schemas.openxmlformats.org/wordprocessingml/2006/main">
  <w:divs>
    <w:div w:id="619532087">
      <w:bodyDiv w:val="1"/>
      <w:marLeft w:val="0"/>
      <w:marRight w:val="0"/>
      <w:marTop w:val="0"/>
      <w:marBottom w:val="0"/>
      <w:divBdr>
        <w:top w:val="none" w:sz="0" w:space="0" w:color="auto"/>
        <w:left w:val="none" w:sz="0" w:space="0" w:color="auto"/>
        <w:bottom w:val="none" w:sz="0" w:space="0" w:color="auto"/>
        <w:right w:val="none" w:sz="0" w:space="0" w:color="auto"/>
      </w:divBdr>
      <w:divsChild>
        <w:div w:id="101404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crgbClr r="0" g="0" b="0"/>
      </a:dk1>
      <a:lt1>
        <a:scrgbClr r="0" g="0" b="0"/>
      </a:lt1>
      <a:dk2>
        <a:scrgbClr r="0" g="0" b="0"/>
      </a:dk2>
      <a:lt2>
        <a:scrgbClr r="0" g="0" b="0"/>
      </a:lt2>
      <a:accent1>
        <a:scrgbClr r="0" g="0" b="0"/>
      </a:accent1>
      <a:accent2>
        <a:scrgbClr r="0" g="0" b="0"/>
      </a:accent2>
      <a:accent3>
        <a:scrgbClr r="0" g="0" b="0"/>
      </a:accent3>
      <a:accent4>
        <a:scrgbClr r="0" g="0" b="0"/>
      </a:accent4>
      <a:accent5>
        <a:scrgbClr r="0" g="0" b="0"/>
      </a:accent5>
      <a:accent6>
        <a:scrgbClr r="0" g="0" b="0"/>
      </a:accent6>
      <a:hlink>
        <a:scrgbClr r="0" g="0" b="0"/>
      </a:hlink>
      <a:folHlink>
        <a:scrgbClr r="0" g="0" b="0"/>
      </a:folHlink>
    </a:clrScheme>
    <a:fontScheme name="">
      <a:majorFont>
        <a:latin typeface=""/>
        <a:ea typeface=""/>
        <a:cs typeface=""/>
      </a:majorFont>
      <a:minorFont>
        <a:latin typeface=""/>
        <a:ea typeface=""/>
        <a:cs typeface=""/>
      </a:minorFont>
    </a:fontScheme>
    <a:fmtSchem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660</Words>
  <Characters>3762</Characters>
  <Application>Microsoft Office Word</Application>
  <DocSecurity>0</DocSecurity>
  <Lines>31</Lines>
  <Paragraphs>8</Paragraphs>
  <ScaleCrop>false</ScaleCrop>
  <Company>微软中国</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田宏林</dc:creator>
  <cp:keywords/>
  <dc:description/>
  <cp:lastModifiedBy>田宏林</cp:lastModifiedBy>
  <cp:revision>1</cp:revision>
  <dcterms:created xsi:type="dcterms:W3CDTF">2019-02-28T03:18:00Z</dcterms:created>
  <dcterms:modified xsi:type="dcterms:W3CDTF">2019-02-28T03:19:00Z</dcterms:modified>
</cp:coreProperties>
</file>