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b/>
          <w:bCs/>
          <w:sz w:val="44"/>
          <w:szCs w:val="44"/>
          <w:lang w:eastAsia="zh-CN"/>
        </w:rPr>
      </w:pPr>
      <w:r>
        <w:rPr>
          <w:rFonts w:hint="eastAsia"/>
          <w:b/>
          <w:bCs/>
          <w:sz w:val="44"/>
          <w:szCs w:val="44"/>
          <w:lang w:eastAsia="zh-CN"/>
        </w:rPr>
        <w:t>工行三代社保卡升级服务方案</w:t>
      </w:r>
    </w:p>
    <w:p>
      <w:pPr>
        <w:jc w:val="center"/>
        <w:rPr>
          <w:rFonts w:hint="eastAsia"/>
          <w:b/>
          <w:bCs/>
          <w:sz w:val="32"/>
          <w:szCs w:val="32"/>
          <w:lang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致：四川外国语大学</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按照人社部发[2020]83号文件要求，养老待遇需通过社保卡发放。工行作为重庆市社保卡的发卡银行之一，诚邀您升级第三代社保卡，更便捷、更智能、更优惠，以下是我行升级服务方案：</w:t>
      </w:r>
    </w:p>
    <w:p>
      <w:pPr>
        <w:numPr>
          <w:ilvl w:val="0"/>
          <w:numId w:val="1"/>
        </w:num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工行三代社保卡简介</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庆市第三代社保卡是由重庆市人力资源和社会保障局与工商银行重庆市分行联合发行，同时具有金融功能和社会保障及公共就业服务权益的联名借记卡。持卡人可凭卡享受劳动就业、社会保险等人力资源和社会保障公共服务，以及存取现金、刷卡消费等金融服务。重庆市第三代社保卡为“IC芯片+隐蔽磁条”复合卡，芯片能够支持非接触应用。卡面银行定义区增加非接触读卡标志，底纹增加“重庆大礼堂”图案，自定义区增加“渝快办”图标，凸显了重庆元素。卡片正上方增加“居民服务一卡通”字样。</w:t>
      </w:r>
    </w:p>
    <w:p>
      <w:pPr>
        <w:pStyle w:val="3"/>
        <w:keepNext w:val="0"/>
        <w:keepLines w:val="0"/>
        <w:widowControl/>
        <w:suppressLineNumbers w:val="0"/>
        <w:ind w:left="0" w:firstLine="0"/>
        <w:rPr>
          <w:rFonts w:hint="eastAsia" w:ascii="微软雅黑" w:hAnsi="微软雅黑" w:eastAsia="微软雅黑" w:cs="微软雅黑"/>
          <w:i w:val="0"/>
          <w:caps w:val="0"/>
          <w:color w:val="000000"/>
          <w:spacing w:val="0"/>
          <w:sz w:val="24"/>
          <w:szCs w:val="24"/>
          <w:lang w:eastAsia="zh-CN"/>
        </w:rPr>
      </w:pPr>
      <w:r>
        <w:rPr>
          <w:rFonts w:hint="eastAsia" w:ascii="微软雅黑" w:hAnsi="微软雅黑" w:eastAsia="微软雅黑" w:cs="微软雅黑"/>
          <w:i w:val="0"/>
          <w:caps w:val="0"/>
          <w:color w:val="000000"/>
          <w:spacing w:val="0"/>
          <w:sz w:val="24"/>
          <w:szCs w:val="24"/>
          <w:lang w:eastAsia="zh-CN"/>
        </w:rPr>
        <w:drawing>
          <wp:inline distT="0" distB="0" distL="114300" distR="114300">
            <wp:extent cx="3301365" cy="2080895"/>
            <wp:effectExtent l="0" t="0" r="13335" b="14605"/>
            <wp:docPr id="2" name="图片 5" descr="C:\Users\cqfh-duanqw01\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C:\Users\cqfh-duanqw01\Desktop\图片1.png图片1"/>
                    <pic:cNvPicPr>
                      <a:picLocks noChangeAspect="1"/>
                    </pic:cNvPicPr>
                  </pic:nvPicPr>
                  <pic:blipFill>
                    <a:blip r:embed="rId4">
                      <a:clrChange>
                        <a:clrFrom>
                          <a:srgbClr val="E9D5CC"/>
                        </a:clrFrom>
                        <a:clrTo>
                          <a:srgbClr val="E9D5CC">
                            <a:alpha val="0"/>
                          </a:srgbClr>
                        </a:clrTo>
                      </a:clrChange>
                    </a:blip>
                    <a:stretch>
                      <a:fillRect/>
                    </a:stretch>
                  </pic:blipFill>
                  <pic:spPr>
                    <a:xfrm>
                      <a:off x="0" y="0"/>
                      <a:ext cx="3301365" cy="2080895"/>
                    </a:xfrm>
                    <a:prstGeom prst="rect">
                      <a:avLst/>
                    </a:prstGeom>
                    <a:noFill/>
                    <a:ln>
                      <a:noFill/>
                    </a:ln>
                  </pic:spPr>
                </pic:pic>
              </a:graphicData>
            </a:graphic>
          </wp:inline>
        </w:drawing>
      </w:r>
    </w:p>
    <w:p>
      <w:pPr>
        <w:numPr>
          <w:ilvl w:val="0"/>
          <w:numId w:val="0"/>
        </w:numPr>
        <w:ind w:firstLine="480" w:firstLineChars="200"/>
        <w:rPr>
          <w:rFonts w:hint="eastAsia" w:ascii="仿宋_GB2312" w:hAnsi="仿宋_GB2312" w:eastAsia="仿宋_GB2312" w:cs="仿宋_GB2312"/>
          <w:sz w:val="32"/>
          <w:szCs w:val="32"/>
          <w:lang w:val="en-US" w:eastAsia="zh-CN"/>
        </w:rPr>
      </w:pPr>
      <w:r>
        <w:rPr>
          <w:rFonts w:hint="eastAsia" w:ascii="微软雅黑" w:hAnsi="微软雅黑" w:eastAsia="微软雅黑" w:cs="微软雅黑"/>
          <w:i w:val="0"/>
          <w:caps w:val="0"/>
          <w:color w:val="000000"/>
          <w:spacing w:val="0"/>
          <w:sz w:val="24"/>
          <w:szCs w:val="24"/>
          <w:lang w:eastAsia="zh-CN"/>
        </w:rPr>
        <w:drawing>
          <wp:inline distT="0" distB="0" distL="114300" distR="114300">
            <wp:extent cx="3408045" cy="2148205"/>
            <wp:effectExtent l="0" t="0" r="1905" b="4445"/>
            <wp:docPr id="3" name="图片 3" descr="083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830_1"/>
                    <pic:cNvPicPr>
                      <a:picLocks noChangeAspect="1"/>
                    </pic:cNvPicPr>
                  </pic:nvPicPr>
                  <pic:blipFill>
                    <a:blip r:embed="rId5"/>
                    <a:stretch>
                      <a:fillRect/>
                    </a:stretch>
                  </pic:blipFill>
                  <pic:spPr>
                    <a:xfrm>
                      <a:off x="0" y="0"/>
                      <a:ext cx="3408045" cy="2148205"/>
                    </a:xfrm>
                    <a:prstGeom prst="rect">
                      <a:avLst/>
                    </a:prstGeom>
                    <a:noFill/>
                    <a:ln>
                      <a:noFill/>
                    </a:ln>
                  </pic:spPr>
                </pic:pic>
              </a:graphicData>
            </a:graphic>
          </wp:inline>
        </w:drawing>
      </w: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numPr>
          <w:ilvl w:val="0"/>
          <w:numId w:val="0"/>
        </w:numPr>
        <w:ind w:firstLine="640" w:firstLineChars="200"/>
        <w:rPr>
          <w:rFonts w:hint="default" w:ascii="仿宋_GB2312" w:hAnsi="仿宋_GB2312" w:eastAsia="仿宋_GB2312" w:cs="仿宋_GB2312"/>
          <w:color w:val="FF0000"/>
          <w:sz w:val="32"/>
          <w:szCs w:val="32"/>
          <w:lang w:val="en-US" w:eastAsia="zh-CN"/>
        </w:rPr>
      </w:pPr>
      <w:r>
        <w:rPr>
          <w:rFonts w:hint="default" w:ascii="Arial" w:hAnsi="Arial" w:eastAsia="仿宋" w:cs="Arial"/>
          <w:sz w:val="32"/>
          <w:szCs w:val="32"/>
          <w:lang w:val="en-US" w:eastAsia="zh-CN"/>
        </w:rPr>
        <w:t>►</w:t>
      </w:r>
      <w:r>
        <w:rPr>
          <w:rFonts w:hint="eastAsia" w:ascii="仿宋_GB2312" w:hAnsi="仿宋_GB2312" w:eastAsia="仿宋_GB2312" w:cs="仿宋_GB2312"/>
          <w:b/>
          <w:bCs/>
          <w:sz w:val="32"/>
          <w:szCs w:val="32"/>
          <w:lang w:val="en-US" w:eastAsia="zh-CN"/>
        </w:rPr>
        <w:t>重庆工行第三代社保卡享有以下优惠政策</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FF0000"/>
          <w:sz w:val="32"/>
          <w:szCs w:val="32"/>
          <w:lang w:val="en-US" w:eastAsia="zh-CN"/>
        </w:rPr>
        <w:t>免年费（10元/年）</w:t>
      </w:r>
    </w:p>
    <w:p>
      <w:pPr>
        <w:numPr>
          <w:ilvl w:val="0"/>
          <w:numId w:val="0"/>
        </w:numPr>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 xml:space="preserve">    免小额账户管理费（12元/年）</w:t>
      </w:r>
    </w:p>
    <w:p>
      <w:pPr>
        <w:numPr>
          <w:ilvl w:val="0"/>
          <w:numId w:val="0"/>
        </w:numPr>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 xml:space="preserve">    免短信信使服务费（30元/年）</w:t>
      </w:r>
    </w:p>
    <w:p>
      <w:pPr>
        <w:numPr>
          <w:ilvl w:val="0"/>
          <w:numId w:val="0"/>
        </w:numPr>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 xml:space="preserve">    免跨行ATM取款手续费</w:t>
      </w:r>
    </w:p>
    <w:p>
      <w:pPr>
        <w:numPr>
          <w:ilvl w:val="0"/>
          <w:numId w:val="0"/>
        </w:numPr>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 xml:space="preserve">    免手机银行境内行及跨行转账费</w:t>
      </w:r>
    </w:p>
    <w:p>
      <w:pPr>
        <w:numPr>
          <w:ilvl w:val="0"/>
          <w:numId w:val="0"/>
        </w:numPr>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 xml:space="preserve">    免费领取对账薄</w:t>
      </w:r>
    </w:p>
    <w:p>
      <w:pPr>
        <w:numPr>
          <w:ilvl w:val="0"/>
          <w:numId w:val="0"/>
        </w:numPr>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 xml:space="preserve">    领取待遇人员免首次更换工本费</w:t>
      </w:r>
    </w:p>
    <w:p>
      <w:pPr>
        <w:numPr>
          <w:ilvl w:val="0"/>
          <w:numId w:val="0"/>
        </w:numPr>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 xml:space="preserve">    免费提供账户安全锁服务</w:t>
      </w:r>
    </w:p>
    <w:p>
      <w:pPr>
        <w:numPr>
          <w:ilvl w:val="0"/>
          <w:numId w:val="0"/>
        </w:numPr>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 xml:space="preserve">    还有专属的定期存款产品，较央行基准上浮利率。</w:t>
      </w:r>
    </w:p>
    <w:p>
      <w:pPr>
        <w:numPr>
          <w:ilvl w:val="0"/>
          <w:numId w:val="0"/>
        </w:numPr>
        <w:rPr>
          <w:rFonts w:hint="eastAsia" w:ascii="仿宋" w:hAnsi="仿宋" w:eastAsia="仿宋" w:cs="仿宋"/>
          <w:sz w:val="32"/>
          <w:szCs w:val="32"/>
          <w:lang w:val="en-US" w:eastAsia="zh-CN"/>
        </w:rPr>
      </w:pPr>
    </w:p>
    <w:p>
      <w:pPr>
        <w:numPr>
          <w:ilvl w:val="0"/>
          <w:numId w:val="0"/>
        </w:numP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Arial" w:hAnsi="Arial" w:eastAsia="仿宋" w:cs="Arial"/>
          <w:b/>
          <w:bCs/>
          <w:sz w:val="32"/>
          <w:szCs w:val="32"/>
          <w:lang w:val="en-US" w:eastAsia="zh-CN"/>
        </w:rPr>
        <w:t>►</w:t>
      </w:r>
      <w:r>
        <w:rPr>
          <w:rFonts w:hint="eastAsia" w:ascii="仿宋_GB2312" w:hAnsi="仿宋_GB2312" w:eastAsia="仿宋_GB2312" w:cs="仿宋_GB2312"/>
          <w:b/>
          <w:bCs/>
          <w:sz w:val="32"/>
          <w:szCs w:val="32"/>
          <w:lang w:val="en-US" w:eastAsia="zh-CN"/>
        </w:rPr>
        <w:t>工行第三代社保卡主要功能</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金融功能，一卡通融。可办理存取款、转账汇款、生活缴费、自助贷款、理财、消费等金融业务，可开通手机银行、网上银行等电子银行产品，能够方便快捷地享受到全面的个人金融服务。</w:t>
      </w:r>
    </w:p>
    <w:p>
      <w:pPr>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社保业务，一卡通读。可实现医疗保险、养老保险、失业保险、生育保险、工伤保险费用的缴交和待遇领取；可实现政府各项社保待遇资金“一卡通”发放。</w:t>
      </w:r>
    </w:p>
    <w:p>
      <w:pPr>
        <w:numPr>
          <w:ilvl w:val="0"/>
          <w:numId w:val="0"/>
        </w:numPr>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就医购药，一卡通用。可凭卡购药、就诊，支持本地和异地的医疗保险费用即时结算，支持挂号、诊疗、即时报销补偿等一条龙服务，实现就医购药“一卡通”。</w:t>
      </w:r>
    </w:p>
    <w:p>
      <w:pPr>
        <w:numPr>
          <w:ilvl w:val="0"/>
          <w:numId w:val="0"/>
        </w:numPr>
        <w:rPr>
          <w:rFonts w:hint="eastAsia" w:ascii="仿宋_GB2312" w:hAnsi="仿宋_GB2312" w:eastAsia="仿宋_GB2312" w:cs="仿宋_GB2312"/>
          <w:sz w:val="32"/>
          <w:szCs w:val="32"/>
          <w:lang w:val="en-US" w:eastAsia="zh-CN"/>
        </w:rPr>
      </w:pPr>
      <w:r>
        <w:rPr>
          <w:rFonts w:hint="eastAsia" w:ascii="Arial" w:hAnsi="Arial" w:eastAsia="仿宋" w:cs="Arial"/>
          <w:sz w:val="32"/>
          <w:szCs w:val="32"/>
          <w:lang w:val="en-US" w:eastAsia="zh-CN"/>
        </w:rPr>
        <w:t xml:space="preserve">    </w:t>
      </w:r>
      <w:r>
        <w:rPr>
          <w:rFonts w:hint="default" w:ascii="Arial" w:hAnsi="Arial" w:eastAsia="仿宋" w:cs="Arial"/>
          <w:b/>
          <w:bCs/>
          <w:sz w:val="32"/>
          <w:szCs w:val="32"/>
          <w:lang w:val="en-US" w:eastAsia="zh-CN"/>
        </w:rPr>
        <w:t>►</w:t>
      </w:r>
      <w:r>
        <w:rPr>
          <w:rFonts w:hint="eastAsia" w:ascii="仿宋_GB2312" w:hAnsi="仿宋_GB2312" w:eastAsia="仿宋_GB2312" w:cs="仿宋_GB2312"/>
          <w:b/>
          <w:bCs/>
          <w:sz w:val="32"/>
          <w:szCs w:val="32"/>
          <w:lang w:val="en-US" w:eastAsia="zh-CN"/>
        </w:rPr>
        <w:t>工行第三代社保卡功能变化</w:t>
      </w:r>
    </w:p>
    <w:p>
      <w:pPr>
        <w:numPr>
          <w:ilvl w:val="0"/>
          <w:numId w:val="0"/>
        </w:numPr>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更便捷。第三代社保卡支持非接应用，由单一接触式应用升级为双界面（接触式+非接触式）应用，进一步提升社保卡的易用性和便捷。</w:t>
      </w:r>
    </w:p>
    <w:p>
      <w:pPr>
        <w:numPr>
          <w:ilvl w:val="0"/>
          <w:numId w:val="0"/>
        </w:numPr>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更安全。第三代社保卡采用最新国密算法，进一步提升社保卡应用安全等级。</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更智能。第三代社保卡扩了大芯片存储容量，扩展卡内生物特征等存储空间，为积极打造“重庆市民一卡通”应用提供支持。</w:t>
      </w:r>
    </w:p>
    <w:p>
      <w:pPr>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二、办理资料</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1、办卡人需提供：</w:t>
      </w:r>
      <w:r>
        <w:rPr>
          <w:rFonts w:hint="eastAsia" w:ascii="仿宋" w:hAnsi="仿宋" w:eastAsia="仿宋" w:cs="仿宋"/>
          <w:sz w:val="32"/>
          <w:szCs w:val="32"/>
          <w:lang w:eastAsia="zh-CN"/>
        </w:rPr>
        <w:t>身份证复印件（签字、手机号码）、税收声明（签字）；</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2、单位需提供：批量办卡协议、委托书、经办人身份证复印件；</w:t>
      </w:r>
    </w:p>
    <w:p>
      <w:pPr>
        <w:ind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3、办卡时限：</w:t>
      </w:r>
      <w:bookmarkStart w:id="0" w:name="_GoBack"/>
      <w:r>
        <w:rPr>
          <w:rFonts w:hint="eastAsia" w:ascii="仿宋" w:hAnsi="仿宋" w:eastAsia="仿宋" w:cs="仿宋"/>
          <w:sz w:val="32"/>
          <w:szCs w:val="32"/>
          <w:lang w:val="en-US" w:eastAsia="zh-CN"/>
        </w:rPr>
        <w:t>资料收齐后约7-10个工作日完成批量制卡</w:t>
      </w:r>
      <w:bookmarkEnd w:id="0"/>
      <w:r>
        <w:rPr>
          <w:rFonts w:hint="eastAsia" w:ascii="仿宋" w:hAnsi="仿宋" w:eastAsia="仿宋" w:cs="仿宋"/>
          <w:sz w:val="32"/>
          <w:szCs w:val="32"/>
          <w:lang w:val="en-US" w:eastAsia="zh-CN"/>
        </w:rPr>
        <w:t>；</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三、我行提供的服务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1、上门服务：</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为您提供上门搜集整理办卡人资料、发卡启用、办卡咨询、业务咨询等。</w:t>
      </w: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批量办理服务：</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工行可批量升级三代社保卡，时效短、安全性强。</w:t>
      </w:r>
    </w:p>
    <w:p>
      <w:pPr>
        <w:numPr>
          <w:ilvl w:val="0"/>
          <w:numId w:val="2"/>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零星办理服务：</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工行沙坪坝支行有5个社保卡办理网点，仅需本人携带身份证即可现场更换社保卡——工行三峡广场支行、工行嘉新支行、工行天星桥支行、工行双碑支行、工行陈家湾支行。</w:t>
      </w:r>
    </w:p>
    <w:p>
      <w:pPr>
        <w:numPr>
          <w:ilvl w:val="0"/>
          <w:numId w:val="3"/>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工行服务团队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560" w:firstLineChars="200"/>
        <w:textAlignment w:val="auto"/>
        <w:outlineLvl w:val="9"/>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color w:val="auto"/>
          <w:sz w:val="28"/>
          <w:szCs w:val="28"/>
          <w:highlight w:val="none"/>
          <w:lang w:val="en-US" w:eastAsia="zh-CN"/>
        </w:rPr>
        <w:t>在工行沙坪坝支行成立由支行孙宓行长任组长，万涛副行长任副组长的服务团队。具体人员组成见下表：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1"/>
        <w:gridCol w:w="531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noWrap w:val="0"/>
            <w:vAlign w:val="top"/>
          </w:tcPr>
          <w:p>
            <w:pPr>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姓  名</w:t>
            </w:r>
          </w:p>
        </w:tc>
        <w:tc>
          <w:tcPr>
            <w:tcW w:w="5310" w:type="dxa"/>
            <w:noWrap w:val="0"/>
            <w:vAlign w:val="top"/>
          </w:tcPr>
          <w:p>
            <w:pPr>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职  务</w:t>
            </w:r>
          </w:p>
        </w:tc>
        <w:tc>
          <w:tcPr>
            <w:tcW w:w="1965" w:type="dxa"/>
            <w:noWrap w:val="0"/>
            <w:vAlign w:val="top"/>
          </w:tcPr>
          <w:p>
            <w:pPr>
              <w:jc w:val="center"/>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noWrap w:val="0"/>
            <w:vAlign w:val="top"/>
          </w:tcPr>
          <w:p>
            <w:pPr>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b w:val="0"/>
                <w:bCs/>
                <w:color w:val="auto"/>
                <w:sz w:val="28"/>
                <w:szCs w:val="28"/>
                <w:highlight w:val="none"/>
                <w:lang w:val="en-US" w:eastAsia="zh-CN"/>
              </w:rPr>
              <w:t>孙 宓</w:t>
            </w:r>
          </w:p>
        </w:tc>
        <w:tc>
          <w:tcPr>
            <w:tcW w:w="5310" w:type="dxa"/>
            <w:noWrap w:val="0"/>
            <w:vAlign w:val="top"/>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工行沙坪坝支行</w:t>
            </w:r>
            <w:r>
              <w:rPr>
                <w:rFonts w:hint="eastAsia" w:ascii="仿宋_GB2312" w:hAnsi="仿宋_GB2312" w:eastAsia="仿宋_GB2312" w:cs="仿宋_GB2312"/>
                <w:color w:val="auto"/>
                <w:sz w:val="28"/>
                <w:szCs w:val="28"/>
                <w:highlight w:val="none"/>
              </w:rPr>
              <w:t>行长</w:t>
            </w:r>
          </w:p>
        </w:tc>
        <w:tc>
          <w:tcPr>
            <w:tcW w:w="1965" w:type="dxa"/>
            <w:noWrap w:val="0"/>
            <w:vAlign w:val="top"/>
          </w:tcPr>
          <w:p>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65308669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noWrap w:val="0"/>
            <w:vAlign w:val="top"/>
          </w:tcPr>
          <w:p>
            <w:pPr>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万</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lang w:eastAsia="zh-CN"/>
              </w:rPr>
              <w:t>涛</w:t>
            </w:r>
          </w:p>
        </w:tc>
        <w:tc>
          <w:tcPr>
            <w:tcW w:w="5310" w:type="dxa"/>
            <w:noWrap w:val="0"/>
            <w:vAlign w:val="top"/>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工行沙坪坝支行</w:t>
            </w:r>
            <w:r>
              <w:rPr>
                <w:rFonts w:hint="eastAsia" w:ascii="仿宋_GB2312" w:hAnsi="仿宋_GB2312" w:eastAsia="仿宋_GB2312" w:cs="仿宋_GB2312"/>
                <w:color w:val="auto"/>
                <w:sz w:val="28"/>
                <w:szCs w:val="28"/>
                <w:highlight w:val="none"/>
              </w:rPr>
              <w:t>副行长</w:t>
            </w:r>
          </w:p>
        </w:tc>
        <w:tc>
          <w:tcPr>
            <w:tcW w:w="1965" w:type="dxa"/>
            <w:noWrap w:val="0"/>
            <w:vAlign w:val="top"/>
          </w:tcPr>
          <w:p>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65360966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noWrap w:val="0"/>
            <w:vAlign w:val="top"/>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袁琪珠</w:t>
            </w:r>
          </w:p>
        </w:tc>
        <w:tc>
          <w:tcPr>
            <w:tcW w:w="5310" w:type="dxa"/>
            <w:noWrap w:val="0"/>
            <w:vAlign w:val="top"/>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工行沙坪坝支行个人</w:t>
            </w:r>
            <w:r>
              <w:rPr>
                <w:rFonts w:hint="eastAsia" w:ascii="仿宋_GB2312" w:hAnsi="仿宋_GB2312" w:eastAsia="仿宋_GB2312" w:cs="仿宋_GB2312"/>
                <w:color w:val="auto"/>
                <w:sz w:val="28"/>
                <w:szCs w:val="28"/>
                <w:highlight w:val="none"/>
              </w:rPr>
              <w:t>金融业务部经理</w:t>
            </w:r>
          </w:p>
        </w:tc>
        <w:tc>
          <w:tcPr>
            <w:tcW w:w="1965" w:type="dxa"/>
            <w:noWrap w:val="0"/>
            <w:vAlign w:val="top"/>
          </w:tcPr>
          <w:p>
            <w:pPr>
              <w:jc w:val="center"/>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65314605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noWrap w:val="0"/>
            <w:vAlign w:val="top"/>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李伟东</w:t>
            </w:r>
          </w:p>
        </w:tc>
        <w:tc>
          <w:tcPr>
            <w:tcW w:w="5310" w:type="dxa"/>
            <w:noWrap w:val="0"/>
            <w:vAlign w:val="top"/>
          </w:tcPr>
          <w:p>
            <w:pPr>
              <w:jc w:val="center"/>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工行沙坪坝支行公司</w:t>
            </w:r>
            <w:r>
              <w:rPr>
                <w:rFonts w:hint="eastAsia" w:ascii="仿宋_GB2312" w:hAnsi="仿宋_GB2312" w:eastAsia="仿宋_GB2312" w:cs="仿宋_GB2312"/>
                <w:color w:val="auto"/>
                <w:sz w:val="28"/>
                <w:szCs w:val="28"/>
                <w:highlight w:val="none"/>
              </w:rPr>
              <w:t>业务</w:t>
            </w:r>
            <w:r>
              <w:rPr>
                <w:rFonts w:hint="eastAsia" w:ascii="仿宋_GB2312" w:hAnsi="仿宋_GB2312" w:eastAsia="仿宋_GB2312" w:cs="仿宋_GB2312"/>
                <w:color w:val="auto"/>
                <w:sz w:val="28"/>
                <w:szCs w:val="28"/>
                <w:highlight w:val="none"/>
                <w:lang w:eastAsia="zh-CN"/>
              </w:rPr>
              <w:t>二</w:t>
            </w:r>
            <w:r>
              <w:rPr>
                <w:rFonts w:hint="eastAsia" w:ascii="仿宋_GB2312" w:hAnsi="仿宋_GB2312" w:eastAsia="仿宋_GB2312" w:cs="仿宋_GB2312"/>
                <w:color w:val="auto"/>
                <w:sz w:val="28"/>
                <w:szCs w:val="28"/>
                <w:highlight w:val="none"/>
              </w:rPr>
              <w:t>部经理</w:t>
            </w:r>
          </w:p>
        </w:tc>
        <w:tc>
          <w:tcPr>
            <w:tcW w:w="1965" w:type="dxa"/>
            <w:noWrap w:val="0"/>
            <w:vAlign w:val="top"/>
          </w:tcPr>
          <w:p>
            <w:pPr>
              <w:jc w:val="center"/>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65314635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1" w:type="dxa"/>
            <w:noWrap w:val="0"/>
            <w:vAlign w:val="top"/>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段庆伟</w:t>
            </w:r>
          </w:p>
        </w:tc>
        <w:tc>
          <w:tcPr>
            <w:tcW w:w="5310" w:type="dxa"/>
            <w:noWrap w:val="0"/>
            <w:vAlign w:val="top"/>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工行沙坪坝童家桥支行网点负责人</w:t>
            </w:r>
          </w:p>
        </w:tc>
        <w:tc>
          <w:tcPr>
            <w:tcW w:w="1965" w:type="dxa"/>
            <w:noWrap w:val="0"/>
            <w:vAlign w:val="top"/>
          </w:tcPr>
          <w:p>
            <w:pPr>
              <w:jc w:val="center"/>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13752883400</w:t>
            </w:r>
          </w:p>
        </w:tc>
      </w:tr>
    </w:tbl>
    <w:p>
      <w:pPr>
        <w:numPr>
          <w:ilvl w:val="0"/>
          <w:numId w:val="0"/>
        </w:numPr>
        <w:rPr>
          <w:rFonts w:hint="eastAsia" w:ascii="仿宋" w:hAnsi="仿宋" w:eastAsia="仿宋" w:cs="仿宋"/>
          <w:b w:val="0"/>
          <w:bCs w:val="0"/>
          <w:sz w:val="32"/>
          <w:szCs w:val="32"/>
          <w:lang w:val="en-US" w:eastAsia="zh-CN"/>
        </w:rPr>
      </w:pPr>
    </w:p>
    <w:tbl>
      <w:tblPr>
        <w:tblStyle w:val="4"/>
        <w:tblpPr w:leftFromText="180" w:rightFromText="180" w:vertAnchor="text" w:horzAnchor="page" w:tblpX="1392" w:tblpY="55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503"/>
        <w:gridCol w:w="1000"/>
        <w:gridCol w:w="1486"/>
        <w:gridCol w:w="50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4" w:hRule="atLeast"/>
        </w:trPr>
        <w:tc>
          <w:tcPr>
            <w:tcW w:w="2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服务网点</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负责人</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联系电话</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营业部地址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4" w:hRule="atLeast"/>
        </w:trPr>
        <w:tc>
          <w:tcPr>
            <w:tcW w:w="2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三峡广场支行</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张力</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65351715</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重庆市沙坪坝区小龙坎新街78号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4" w:hRule="atLeast"/>
        </w:trPr>
        <w:tc>
          <w:tcPr>
            <w:tcW w:w="2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双碑支行</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牟嗣杰</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65155056</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重庆市沙坪坝区双碑街34-3号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4" w:hRule="atLeast"/>
        </w:trPr>
        <w:tc>
          <w:tcPr>
            <w:tcW w:w="2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童家桥支行</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32"/>
                <w:szCs w:val="32"/>
                <w:u w:val="none"/>
                <w:lang w:val="en-US"/>
              </w:rPr>
            </w:pPr>
            <w:r>
              <w:rPr>
                <w:rFonts w:hint="eastAsia" w:ascii="仿宋" w:hAnsi="仿宋" w:eastAsia="仿宋" w:cs="仿宋"/>
                <w:i w:val="0"/>
                <w:color w:val="000000"/>
                <w:kern w:val="0"/>
                <w:sz w:val="32"/>
                <w:szCs w:val="32"/>
                <w:u w:val="none"/>
                <w:lang w:val="en-US" w:eastAsia="zh-CN" w:bidi="ar-SA"/>
              </w:rPr>
              <w:t>段庆伟</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32"/>
                <w:szCs w:val="32"/>
                <w:u w:val="none"/>
                <w:lang w:val="en-US"/>
              </w:rPr>
            </w:pPr>
            <w:r>
              <w:rPr>
                <w:rFonts w:hint="eastAsia" w:ascii="仿宋" w:hAnsi="仿宋" w:eastAsia="仿宋" w:cs="仿宋"/>
                <w:i w:val="0"/>
                <w:color w:val="000000"/>
                <w:kern w:val="0"/>
                <w:sz w:val="32"/>
                <w:szCs w:val="32"/>
                <w:u w:val="none"/>
                <w:lang w:val="en-US" w:eastAsia="zh-CN" w:bidi="ar-SA"/>
              </w:rPr>
              <w:t>65256690</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重庆市沙坪坝区童家桥大水井60-1号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4" w:hRule="atLeast"/>
        </w:trPr>
        <w:tc>
          <w:tcPr>
            <w:tcW w:w="2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上桥支行</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唐恬</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65212937</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重庆市沙坪坝区上桥新街39号（工行）附24号、25号、26号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4" w:hRule="atLeast"/>
        </w:trPr>
        <w:tc>
          <w:tcPr>
            <w:tcW w:w="2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小龙坎支行</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粟露</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65913003</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小龙坎新街75-6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4" w:hRule="atLeast"/>
        </w:trPr>
        <w:tc>
          <w:tcPr>
            <w:tcW w:w="2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天星桥支行</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刘丽</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65459027</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重庆市沙坪坝区天星桥正街63-10号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4" w:hRule="atLeast"/>
        </w:trPr>
        <w:tc>
          <w:tcPr>
            <w:tcW w:w="2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井口支行</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褚雅伦</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65183849</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重庆市沙坪坝区井口正街经济桥52号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4" w:hRule="atLeast"/>
        </w:trPr>
        <w:tc>
          <w:tcPr>
            <w:tcW w:w="2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白马凼支行</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段斌</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68633850</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沙坪坝区富洲新城4号附3号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4" w:hRule="atLeast"/>
        </w:trPr>
        <w:tc>
          <w:tcPr>
            <w:tcW w:w="2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陈家湾支行</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史薇</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65330890</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沙坪坝区天陈路12号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4" w:hRule="atLeast"/>
        </w:trPr>
        <w:tc>
          <w:tcPr>
            <w:tcW w:w="2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嘉新支行</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苏琨</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65313162</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小龙坎正街166号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4" w:hRule="atLeast"/>
        </w:trPr>
        <w:tc>
          <w:tcPr>
            <w:tcW w:w="2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高滩岩支行</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郑桦</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65311256</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重庆市沙坪坝区高滩岩一村1幢1、2号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4" w:hRule="atLeast"/>
        </w:trPr>
        <w:tc>
          <w:tcPr>
            <w:tcW w:w="2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西永微电子产业园区支行</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周闯</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65663366</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重庆市沙坪坝区西永大道28号附1号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4" w:hRule="atLeast"/>
        </w:trPr>
        <w:tc>
          <w:tcPr>
            <w:tcW w:w="250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大学城支行</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袁琪珠</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65621088</w:t>
            </w:r>
          </w:p>
        </w:tc>
        <w:tc>
          <w:tcPr>
            <w:tcW w:w="505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重庆市沙坪坝区大学城中路19号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4" w:hRule="atLeast"/>
        </w:trPr>
        <w:tc>
          <w:tcPr>
            <w:tcW w:w="2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凤天路支行</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张军</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65232359</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沙坪坝区凤天路130号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4" w:hRule="atLeast"/>
        </w:trPr>
        <w:tc>
          <w:tcPr>
            <w:tcW w:w="2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物流园支行</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蒋红</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65685412</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土主镇民心路18号附1号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7" w:hRule="atLeast"/>
        </w:trPr>
        <w:tc>
          <w:tcPr>
            <w:tcW w:w="2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青木关支行</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李麟</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65600177</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重庆市沙坪坝区青木关镇青云街53号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5" w:hRule="atLeast"/>
        </w:trPr>
        <w:tc>
          <w:tcPr>
            <w:tcW w:w="2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天马路支行</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赵凯</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65668693</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重庆市沙坪坝区凤天大道1号一层15号、16号、17号（部分）、18号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7" w:hRule="atLeast"/>
        </w:trPr>
        <w:tc>
          <w:tcPr>
            <w:tcW w:w="2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金沙港湾支行</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唐昕</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65001481</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金沙港湾B区14号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7" w:hRule="atLeast"/>
        </w:trPr>
        <w:tc>
          <w:tcPr>
            <w:tcW w:w="2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歌乐山支行</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赵凯</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65311283</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重庆市沙坪坝区歌乐山正街145号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7" w:hRule="atLeast"/>
        </w:trPr>
        <w:tc>
          <w:tcPr>
            <w:tcW w:w="2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烈士墓支行</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常辉</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65322730</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重庆市沙坪坝区壮志路8号正1层1-3号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7" w:hRule="atLeast"/>
        </w:trPr>
        <w:tc>
          <w:tcPr>
            <w:tcW w:w="2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新桥支行</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官敏</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65213806</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重庆市沙坪坝区新桥正街161号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97" w:hRule="atLeast"/>
        </w:trPr>
        <w:tc>
          <w:tcPr>
            <w:tcW w:w="2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陈家桥支行</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黄显宏</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65331095</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重庆市沙坪坝陈家桥重庆市沿河西路10号附1号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07" w:hRule="atLeast"/>
        </w:trPr>
        <w:tc>
          <w:tcPr>
            <w:tcW w:w="25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沙北街支行</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蒙娜</w:t>
            </w:r>
          </w:p>
        </w:tc>
        <w:tc>
          <w:tcPr>
            <w:tcW w:w="148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65321569</w:t>
            </w:r>
          </w:p>
        </w:tc>
        <w:tc>
          <w:tcPr>
            <w:tcW w:w="50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SA"/>
              </w:rPr>
              <w:t>重庆市沙坪坝区沙正街129-11号</w:t>
            </w:r>
          </w:p>
        </w:tc>
      </w:tr>
    </w:tbl>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numPr>
          <w:ilvl w:val="0"/>
          <w:numId w:val="0"/>
        </w:numPr>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312" w:afterLines="100" w:line="360" w:lineRule="auto"/>
        <w:ind w:left="0" w:leftChars="0" w:right="210" w:rightChars="100" w:firstLine="883" w:firstLineChars="200"/>
        <w:jc w:val="center"/>
        <w:textAlignment w:val="auto"/>
        <w:outlineLvl w:val="9"/>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color w:val="auto"/>
          <w:sz w:val="44"/>
          <w:szCs w:val="44"/>
          <w:highlight w:val="none"/>
        </w:rPr>
        <w:drawing>
          <wp:anchor distT="0" distB="0" distL="114300" distR="114300" simplePos="0" relativeHeight="251659264" behindDoc="0" locked="0" layoutInCell="1" allowOverlap="1">
            <wp:simplePos x="0" y="0"/>
            <wp:positionH relativeFrom="page">
              <wp:posOffset>2520315</wp:posOffset>
            </wp:positionH>
            <wp:positionV relativeFrom="page">
              <wp:posOffset>6337935</wp:posOffset>
            </wp:positionV>
            <wp:extent cx="2528570" cy="1835785"/>
            <wp:effectExtent l="0" t="0" r="5080" b="12065"/>
            <wp:wrapNone/>
            <wp:docPr id="1" name="图片 21"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1" descr="图片4"/>
                    <pic:cNvPicPr>
                      <a:picLocks noChangeAspect="1"/>
                    </pic:cNvPicPr>
                  </pic:nvPicPr>
                  <pic:blipFill>
                    <a:blip r:embed="rId6"/>
                    <a:stretch>
                      <a:fillRect/>
                    </a:stretch>
                  </pic:blipFill>
                  <pic:spPr>
                    <a:xfrm>
                      <a:off x="0" y="0"/>
                      <a:ext cx="2528570" cy="1835785"/>
                    </a:xfrm>
                    <a:prstGeom prst="rect">
                      <a:avLst/>
                    </a:prstGeom>
                    <a:noFill/>
                    <a:ln>
                      <a:noFill/>
                    </a:ln>
                  </pic:spPr>
                </pic:pic>
              </a:graphicData>
            </a:graphic>
          </wp:anchor>
        </w:drawing>
      </w:r>
      <w:r>
        <w:rPr>
          <w:rFonts w:hint="eastAsia" w:ascii="仿宋_GB2312" w:hAnsi="仿宋_GB2312" w:eastAsia="仿宋_GB2312" w:cs="仿宋_GB2312"/>
          <w:b/>
          <w:bCs/>
          <w:color w:val="auto"/>
          <w:sz w:val="32"/>
          <w:szCs w:val="32"/>
          <w:highlight w:val="none"/>
          <w:lang w:val="en-US" w:eastAsia="zh-CN"/>
        </w:rPr>
        <w:t>感谢长期以来给予工行的信任和支持！</w:t>
      </w:r>
    </w:p>
    <w:sectPr>
      <w:pgSz w:w="11906" w:h="16838"/>
      <w:pgMar w:top="1440" w:right="1800" w:bottom="1440" w:left="1800"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32">
      <wne:acd wne:acdName="acd0"/>
    </wne:keymap>
    <wne:keymap wne:kcmPrimary="07FF">
      <wne:acd wne:acdName="acd1"/>
    </wne:keymap>
  </wne:keymaps>
  <wne:acds>
    <wne:acd wne:argValue="AQAAAAAA" wne:acdName="acd0" wne:fciIndexBasedOn="0065"/>
    <wne:acd wne:argValue="AQAAACA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8C13C"/>
    <w:multiLevelType w:val="singleLevel"/>
    <w:tmpl w:val="62D8C13C"/>
    <w:lvl w:ilvl="0" w:tentative="0">
      <w:start w:val="1"/>
      <w:numFmt w:val="chineseCounting"/>
      <w:suff w:val="nothing"/>
      <w:lvlText w:val="%1、"/>
      <w:lvlJc w:val="left"/>
    </w:lvl>
  </w:abstractNum>
  <w:abstractNum w:abstractNumId="1">
    <w:nsid w:val="62D8C594"/>
    <w:multiLevelType w:val="singleLevel"/>
    <w:tmpl w:val="62D8C594"/>
    <w:lvl w:ilvl="0" w:tentative="0">
      <w:start w:val="2"/>
      <w:numFmt w:val="decimal"/>
      <w:suff w:val="nothing"/>
      <w:lvlText w:val="%1、"/>
      <w:lvlJc w:val="left"/>
    </w:lvl>
  </w:abstractNum>
  <w:abstractNum w:abstractNumId="2">
    <w:nsid w:val="62D8C72F"/>
    <w:multiLevelType w:val="singleLevel"/>
    <w:tmpl w:val="62D8C72F"/>
    <w:lvl w:ilvl="0" w:tentative="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M2MyNmU3NWNkMjM3MTBmZjU1YjhkY2Y0YmViODQifQ=="/>
  </w:docVars>
  <w:rsids>
    <w:rsidRoot w:val="1DEE1F90"/>
    <w:rsid w:val="09C972A5"/>
    <w:rsid w:val="1DEE1F90"/>
    <w:rsid w:val="369D7595"/>
    <w:rsid w:val="3BF44D1E"/>
    <w:rsid w:val="507B032A"/>
    <w:rsid w:val="6FF54A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unhideWhenUsed/>
    <w:uiPriority w:val="0"/>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Normal (Web)"/>
    <w:basedOn w:val="1"/>
    <w:unhideWhenUsed/>
    <w:uiPriority w:val="99"/>
    <w:pPr>
      <w:spacing w:before="100" w:beforeAutospacing="1" w:after="100" w:afterAutospacing="1"/>
      <w:ind w:left="0" w:right="0"/>
      <w:jc w:val="left"/>
    </w:pPr>
    <w:rPr>
      <w:kern w:val="0"/>
      <w:sz w:val="24"/>
      <w:lang w:val="en-US" w:eastAsia="zh-CN" w:bidi="ar-SA"/>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7</Pages>
  <Words>1828</Words>
  <Characters>2088</Characters>
  <Lines>1</Lines>
  <Paragraphs>1</Paragraphs>
  <TotalTime>98</TotalTime>
  <ScaleCrop>false</ScaleCrop>
  <LinksUpToDate>false</LinksUpToDate>
  <CharactersWithSpaces>2165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2022-07-21T02:40:00Z</dcterms:created>
  <dc:creator>皮婕</dc:creator>
  <cp:lastModifiedBy>怀瑾握瑜</cp:lastModifiedBy>
  <cp:lastPrinted>2022-07-21T06:09:00Z</cp:lastPrinted>
  <dcterms:modified xsi:type="dcterms:W3CDTF">2022-09-27T08:35:54Z</dcterms:modified>
  <dc:title>工行三代社保卡升级服务方案</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FA64AF0EE7FF435BB86EA0489806BC07</vt:lpwstr>
  </property>
</Properties>
</file>